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E5" w:rsidRPr="00EF5EE5" w:rsidRDefault="00EF5EE5" w:rsidP="00EF5EE5">
      <w:pPr>
        <w:shd w:val="clear" w:color="auto" w:fill="FFFFFF"/>
        <w:spacing w:after="15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r w:rsidRPr="00EF5EE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07E5A041" wp14:editId="0F4182DB">
            <wp:extent cx="1276350" cy="1343025"/>
            <wp:effectExtent l="0" t="0" r="0" b="9525"/>
            <wp:docPr id="3" name="Рисунок 3" descr="http://www.yondi.ru/texts/1571/image00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ondi.ru/texts/1571/image001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ГВОЗДИ ОТДЕЛОЧНЫЕ КРУГЛЫЕ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КОНСТРУКЦИЯ И РАЗМЕРЫ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ГОСТ 4032-63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 КОМИТЕТ СССР</w:t>
      </w: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ПО УПРАВЛЕНИЮ КАЧЕСТВОМ ПРОДУКЦИИ И СТАНДАРТАМ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Москва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6"/>
      </w:tblGrid>
      <w:tr w:rsidR="00EF5EE5" w:rsidRPr="00EF5EE5" w:rsidTr="00EF5EE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ГВОЗДИ ОТДЕЛОЧНЫЕ КРУГЛЫЕ</w:t>
            </w:r>
          </w:p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Конструкция и размеры</w:t>
            </w:r>
          </w:p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Round finishing nails.</w:t>
            </w: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br/>
              <w:t>Construction and dimensions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ГОСТ</w:t>
            </w:r>
            <w:r w:rsidRPr="00EF5EE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br/>
              <w:t>4032-63</w:t>
            </w:r>
          </w:p>
        </w:tc>
      </w:tr>
    </w:tbl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Дата введения </w:t>
      </w: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01.07.64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Несоблюдение стандарта преследуется по закону</w:t>
      </w:r>
    </w:p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Конструкция и размеры обойных гвоздей должны соответствовать </w:t>
      </w:r>
      <w:proofErr w:type="gramStart"/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указанным</w:t>
      </w:r>
      <w:proofErr w:type="gramEnd"/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 на чертеже и в таблице.</w:t>
      </w:r>
    </w:p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44A6E079" wp14:editId="50FE6323">
            <wp:extent cx="2990850" cy="1162050"/>
            <wp:effectExtent l="0" t="0" r="0" b="0"/>
            <wp:docPr id="4" name="Рисунок 4" descr="http://www.yondi.ru/texts/1571/image002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ondi.ru/texts/1571/image002-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мм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EF5EE5" w:rsidRPr="00EF5EE5" w:rsidTr="00EF5EE5">
        <w:trPr>
          <w:tblHeader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Диаметр стержня </w:t>
            </w:r>
            <w:r w:rsidRPr="00EF5EE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гвоздя </w:t>
            </w:r>
            <w:r w:rsidRPr="00EF5EE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Диаметр головки </w:t>
            </w:r>
            <w:r w:rsidRPr="00EF5EE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D</w:t>
            </w: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 не менее</w:t>
            </w:r>
          </w:p>
        </w:tc>
      </w:tr>
      <w:tr w:rsidR="00EF5EE5" w:rsidRPr="00EF5EE5" w:rsidTr="00EF5EE5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1,4</w:t>
            </w:r>
          </w:p>
        </w:tc>
      </w:tr>
      <w:tr w:rsidR="00EF5EE5" w:rsidRPr="00EF5EE5" w:rsidTr="00EF5EE5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1,8</w:t>
            </w:r>
          </w:p>
        </w:tc>
      </w:tr>
      <w:tr w:rsidR="00EF5EE5" w:rsidRPr="00EF5EE5" w:rsidTr="00EF5EE5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2,2</w:t>
            </w:r>
          </w:p>
        </w:tc>
      </w:tr>
      <w:tr w:rsidR="00EF5EE5" w:rsidRPr="00EF5EE5" w:rsidTr="00EF5EE5"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2,8</w:t>
            </w:r>
          </w:p>
        </w:tc>
      </w:tr>
      <w:tr w:rsidR="00EF5EE5" w:rsidRPr="00EF5EE5" w:rsidTr="00EF5E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EE5" w:rsidRPr="00EF5EE5" w:rsidRDefault="00EF5EE5" w:rsidP="00EF5EE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F5EE5" w:rsidRPr="00EF5EE5" w:rsidTr="00EF5EE5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3,6</w:t>
            </w:r>
          </w:p>
        </w:tc>
      </w:tr>
    </w:tbl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Условное обозначение гвоздей с диаметром стержня 1,2 мм и длиной 20 мм: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Гвоздь 1,2×20 ГОСТ 4032-63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</w:t>
      </w: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 № 1).</w:t>
      </w:r>
    </w:p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t>2. Технические требования на гвозди — по ГОСТ 283–75.</w:t>
      </w:r>
    </w:p>
    <w:p w:rsidR="00EF5EE5" w:rsidRPr="00EF5EE5" w:rsidRDefault="00EF5EE5" w:rsidP="00EF5EE5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3. Теоретическая масса гвоздей указана в справочном приложении.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(Введен дополнительно, Изм. № 1).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ПРИЛОЖЕНИЕ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Справочное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Теоретическая масса гвоздей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EF5EE5" w:rsidRPr="00EF5EE5" w:rsidTr="00EF5EE5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Размер гвоздей, </w:t>
            </w:r>
            <w:proofErr w:type="spellStart"/>
            <w:r w:rsidRPr="00EF5EE5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d×l</w:t>
            </w:r>
            <w:proofErr w:type="spellEnd"/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Масса 1000 гвоздей, </w:t>
            </w:r>
            <w:proofErr w:type="gramStart"/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0,8×10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0,027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1,0×16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0,085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1,2×20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0,167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1,6×25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0,360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1,6×32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0,471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2,0×40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0,935</w:t>
            </w:r>
          </w:p>
        </w:tc>
      </w:tr>
    </w:tbl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 № 1, 2).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ИНФОРМАЦИОННЫЕ ДАННЫЕ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1. РАЗРАБОТАН И ВНЕСЕН Министерством черной металлургии СССР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ИСПОЛНИТЕЛИ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К. Г. </w:t>
      </w:r>
      <w:proofErr w:type="spellStart"/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Залялютдинов</w:t>
      </w:r>
      <w:proofErr w:type="spellEnd"/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 Б. М. </w:t>
      </w:r>
      <w:proofErr w:type="spellStart"/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Ригмант</w:t>
      </w:r>
      <w:proofErr w:type="spellEnd"/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 В. Г. Вильде; Р. В. Жирова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2. УТВЕРЖДЕН И ВВЕДЕН В ДЕЙСТВИЕ Государственным комитетом стандартов, мер и измерительных приборов СССР от 06.08.63 № 570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3. ВЗАМЕН ГОСТ 4032-48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4. ССЫЛОЧНЫЕ НОРМАТИВНО-ТЕХНИЧЕСКИЕ ДОКУМЕНТЫ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EF5EE5" w:rsidRPr="00EF5EE5" w:rsidTr="00EF5EE5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Обозначение НТД, на </w:t>
            </w:r>
            <w:proofErr w:type="gramStart"/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который</w:t>
            </w:r>
            <w:proofErr w:type="gramEnd"/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дана ссылка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 пункта</w:t>
            </w:r>
          </w:p>
        </w:tc>
      </w:tr>
      <w:tr w:rsidR="00EF5EE5" w:rsidRPr="00EF5EE5" w:rsidTr="00EF5EE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hyperlink r:id="rId7" w:history="1">
              <w:r w:rsidRPr="00EF5EE5">
                <w:rPr>
                  <w:rFonts w:ascii="Courier New" w:eastAsia="Times New Roman" w:hAnsi="Courier New" w:cs="Courier New"/>
                  <w:color w:val="046391"/>
                  <w:sz w:val="20"/>
                  <w:szCs w:val="20"/>
                  <w:u w:val="single"/>
                </w:rPr>
                <w:t>ГОСТ 283-75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EE5" w:rsidRPr="00EF5EE5" w:rsidRDefault="00EF5EE5" w:rsidP="00EF5EE5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F5EE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</w:p>
        </w:tc>
      </w:tr>
    </w:tbl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5. Срок действия продлен до 01.01.96 Постановлением Госстандарта от 15.05.85 № 1355.</w:t>
      </w:r>
    </w:p>
    <w:p w:rsidR="00EF5EE5" w:rsidRPr="00EF5EE5" w:rsidRDefault="00EF5EE5" w:rsidP="00EF5EE5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5EE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6. Переиздание (май 1990 г.) с Изменениями № 1, 2, утвержденными в ноябре 1980 г., декабре 1987 г. (ИУС 2–81, 4-88).</w:t>
      </w:r>
    </w:p>
    <w:p w:rsidR="00750E3D" w:rsidRDefault="00750E3D"/>
    <w:sectPr w:rsidR="007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4E"/>
    <w:rsid w:val="006E3E4E"/>
    <w:rsid w:val="00750E3D"/>
    <w:rsid w:val="00E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00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ndi.ru/inner_c_article_id_1511.p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2014-08-27T00:35:00Z</dcterms:created>
  <dcterms:modified xsi:type="dcterms:W3CDTF">2014-08-27T00:35:00Z</dcterms:modified>
</cp:coreProperties>
</file>