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AB" w:rsidRPr="007124AB" w:rsidRDefault="007124AB" w:rsidP="007124AB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0" w:name="_GoBack"/>
      <w:bookmarkEnd w:id="0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ГОСТ 8736-93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</w:rPr>
        <w:t>МЕЖГОСУДАРСТВЕННЫЙСТАНДАРТ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ПЕСОК ДЛЯ СТРОИТЕЛЬНЫХ РАБОТ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ТЕХНИЧЕСКИЕ УСЛОВИЯ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МЕЖГОСУДАРСТВЕННАЯНАУЧНО-ТЕХНИЧЕСКАЯ КОМИССИЯ 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ПО СТАНДАРТИЗАЦИИ И ТЕХНИЧЕСКОМУ НОРМИРОВАНИЮ 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В СТРОИТЕЛЬСТВЕ (МНТКС)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</w:rPr>
        <w:t>Предисловие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left="3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1 </w:t>
      </w: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РАЗРАБОТАН</w:t>
      </w:r>
      <w:proofErr w:type="gram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институтом </w:t>
      </w: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ВНИПИИстромсырье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участиемСоюзДорНИИ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НИИЖБ, ЦНИИОМТП Российской Федерации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ВНЕСЕНМинстроем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России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left="3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ПРИНЯТ Межгосударственной научно-</w:t>
      </w: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техническойкомиссией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по стандартизации и техническому нормированию в строительстве (МНТКС)10 ноября 1993 г.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За </w:t>
      </w: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принятиепроголосовали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5229"/>
      </w:tblGrid>
      <w:tr w:rsidR="007124AB" w:rsidRPr="007124AB" w:rsidTr="007124AB">
        <w:trPr>
          <w:tblHeader/>
          <w:jc w:val="center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государства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государственного управления строительством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Госстрой Азербайджанской республики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Армения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Госупрархитектуры</w:t>
            </w:r>
            <w:proofErr w:type="spell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Армения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Беларусь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Госстрой Республики Беларусь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Казахстан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Минстрой Республики Казахстан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Кыргызская Республика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Госстрой Кыргызской Республики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Молдова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Минархстрой</w:t>
            </w:r>
            <w:proofErr w:type="spell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Молдова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Госстрой России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Таджикистан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Госстрой Республики Таджикистан</w:t>
            </w:r>
          </w:p>
        </w:tc>
      </w:tr>
      <w:tr w:rsidR="007124AB" w:rsidRPr="007124AB" w:rsidTr="007124AB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Узбекистан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Госкомархитектстрой</w:t>
            </w:r>
            <w:proofErr w:type="spell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Узбекистан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left="200" w:hanging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3 ВВЕДЕН В ДЕЙСТВИЕ с 1 июля 1995 г. в качестве государственного </w:t>
      </w: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стандартаРоссийской</w:t>
      </w:r>
      <w:proofErr w:type="spell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Федерации Постановлением Минстроя России от 28 ноября 1994 г. №18-29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left="198" w:hanging="19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 ВЗАМЕН ГОСТ 8736-85, ГОСТ 26193-84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МЕЖГОСУДАРСТВЕННЫЙ СТАНДАРТ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ПЕСОК ДЛЯ СТРОИТЕЛЬНЫХ РАБОТ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Технические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 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условия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Sand for construction works.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br/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Specifications</w:t>
      </w:r>
      <w:proofErr w:type="spellEnd"/>
    </w:p>
    <w:p w:rsidR="007124AB" w:rsidRPr="007124AB" w:rsidRDefault="007124AB" w:rsidP="007124AB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Дата введения 1995-07-01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" w:name="i12039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1 ОБЛАСТЬ ПРИМЕНЕНИЯ</w:t>
      </w:r>
      <w:bookmarkEnd w:id="1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Настоящий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стандартраспространяется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природный песок и песок из отсевов дробления горных пород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систинной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плотностью зерен от 2,0 до 2,8 г/см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предназначенные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дляприменения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качестве заполнителя тяжелых, легких, мелкозернистых, ячеистых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исиликатных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бетонов, строительных растворов, приготовления сухих смесей,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дляустройства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оснований и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покрытий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автомобильных дорог и аэродромов.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Требования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настоящегостандарта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распространяются на фракционированные и дробленые пески.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Требования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настоящегостандарта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изложенные в пунктах </w:t>
      </w:r>
      <w:hyperlink r:id="rId5" w:anchor="i85239" w:tooltip="Пункт 4.4.1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4.4.1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6" w:anchor="i112500" w:tooltip="Пункт 4.4.3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4.4.3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7" w:anchor="i123141" w:tooltip="Пункт 4.4.7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4.4.7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8" w:anchor="i132861" w:tooltip="Пункт 4.4.8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4.4.8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,разделах </w:t>
      </w:r>
      <w:hyperlink r:id="rId9" w:anchor="i155462" w:tooltip="Раздел 5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 </w:t>
      </w:r>
      <w:hyperlink r:id="rId10" w:anchor="i204175" w:tooltip="Раздел 6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6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,являются обязательными.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" w:name="i28899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2 НОРМАТИВНЫЕ ССЫЛКИ</w:t>
      </w:r>
      <w:bookmarkEnd w:id="2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настоящем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стандартеиспользованы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ссылки на следующие стандарты.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hyperlink r:id="rId11" w:tooltip="Щебень и гравий из плотных горных пород и отходов промышленного производства для строительных работ. Методы физико-механических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ГОСТ8269.0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Щебень и гравий из плотных горных пород и отходов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промышленногопроизводства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строительных работ. Методы физико-механических испытаний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hyperlink r:id="rId12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8735-88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Песокдля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строительных работ. Методы испытаний.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hyperlink r:id="rId13" w:tooltip="Материалы и изделия строительные. Определение удельной эффективной активности естественных радионуклидов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ГОСТ30108-94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Материалы и изделия строительные. Определение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удельной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эффективнойактивности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естественных радионуклидов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(Измененная редакция.</w:t>
      </w:r>
      <w:proofErr w:type="gram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Изм. № 2).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3" w:name="i37540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3 ОПРЕДЕЛЕНИЯ</w:t>
      </w:r>
      <w:bookmarkEnd w:id="3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настоящем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стандартеприменены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следующие термины.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Природный песок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неорганический сыпучий материал с крупностью зерен до 5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мм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бразовавшийся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результате естественного разрушения скальных горных пород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иполучаемый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разработке песчаных и песчано-гравийных месторождений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безиспользования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с использованием специального обогатительного оборудования.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(Измененная редакция.</w:t>
      </w:r>
      <w:proofErr w:type="gram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Изм. № 1).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Дробленый песок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песок с крупностью зерен до 5 мм, изготавливаемый из скальных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горныхпород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гравия с использованием специального дробильно-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размольногооборудования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Фракционированный песок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песок, разделенный на две или более фракций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сиспользованием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специального оборудования.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Песок из отсевов дробления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неорганический сыпучий материал с крупностью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зерендо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5 мм, получаемый из отсевов дробления горных пород при производстве щебня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ииз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отходов обогащения руд черных и цветных металлов 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неметаллическихископаемых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других отраслей промышленности.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4" w:name="i44837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4 ТЕХНИЧЕСКИЕ ТРЕБОВАНИЯ</w:t>
      </w:r>
      <w:bookmarkEnd w:id="4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4.1 Песок должен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бытьизготовлен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соответствии с требованиями настоящего стандарта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потехнологической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документации, утвержденной предприятием-изготовителем.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4.2 Песок в зависимости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отзначений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нормируемых показателей качества (зернового состава,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содержанияпылевидных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глинистых частиц) подразделяют на два класса.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4.3 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Основные параметры и размеры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4.3.1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зависимости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отзернового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состава песок подразделяют на группы по крупности: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 клас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с-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очень крупный (песок из отсевов дробления), повышенной крупности,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крупный,средний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мелкий;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II класс - очень крупны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й(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песок из отсевов дробления), повышенной крупности, крупный, средний,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мелкий,очень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мелкий, тонкий и очень тонкий.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4.3.2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аждую группу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пескахарактеризуют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значением модуля крупности, указанным в таблице </w:t>
      </w:r>
      <w:hyperlink r:id="rId14" w:anchor="i56959" w:tooltip="Таблица 1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7124AB" w:rsidRPr="007124AB" w:rsidTr="007124AB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i56959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Группа песка</w:t>
            </w:r>
            <w:bookmarkEnd w:id="5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Модуль крупности </w:t>
            </w:r>
            <w:proofErr w:type="spell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Мк</w:t>
            </w:r>
            <w:proofErr w:type="spellEnd"/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крупный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 3,5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Повышенной крупности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3,0   до  3,5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2,5   »    3,0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2,0   »    2,5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1,5   »    2,0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мелкий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1,0   »    1,5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Тонкий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0,7   »    1,0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тонкий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  0,7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4.3.3 Полный остаток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пескана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сите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сеткой № 063 должен соответствовать значениям, указанным в таблице </w:t>
      </w:r>
      <w:hyperlink r:id="rId15" w:anchor="i61947" w:tooltip="Таблица 2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2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Таблица 2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процентах по массе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7124AB" w:rsidRPr="007124AB" w:rsidTr="007124AB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i61947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Группа песка</w:t>
            </w:r>
            <w:bookmarkEnd w:id="6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Полный остаток на сите № 063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крупный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 75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Повышенной крупности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65    до  75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45    »    65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30    »    45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10    »    30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мелкий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  10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Тонкий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нормируется</w:t>
            </w:r>
          </w:p>
        </w:tc>
      </w:tr>
      <w:tr w:rsidR="007124AB" w:rsidRPr="007124AB" w:rsidTr="007124AB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тонкий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»        »</w:t>
            </w:r>
          </w:p>
        </w:tc>
      </w:tr>
      <w:tr w:rsidR="007124AB" w:rsidRPr="007124AB" w:rsidTr="007124AB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</w:rPr>
              <w:t>Примечание</w:t>
            </w: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- По согласованию предприятия-изготовителя с потребителем в песке класса II допускается отклонение полного остатка на сите № 063 от 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вышеуказанных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но не более чем на ±5 %.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4.3.4 Содержание зерен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крупностьюсв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10, 5 и менее 0,16 мм не должно превышать значений, указанных в таблице </w:t>
      </w:r>
      <w:hyperlink r:id="rId16" w:anchor="i75051" w:tooltip="Таблица 3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Таблица 3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процентах по массе,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неболее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806"/>
        <w:gridCol w:w="1617"/>
        <w:gridCol w:w="1901"/>
      </w:tblGrid>
      <w:tr w:rsidR="007124AB" w:rsidRPr="007124AB" w:rsidTr="007124AB">
        <w:trPr>
          <w:tblHeader/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i75051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Класс и группа песка</w:t>
            </w:r>
            <w:bookmarkEnd w:id="7"/>
          </w:p>
        </w:tc>
        <w:tc>
          <w:tcPr>
            <w:tcW w:w="28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Содержание зерен крупностью</w:t>
            </w:r>
          </w:p>
        </w:tc>
      </w:tr>
      <w:tr w:rsidR="007124AB" w:rsidRPr="007124AB" w:rsidTr="007124A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AB" w:rsidRPr="007124AB" w:rsidRDefault="007124AB" w:rsidP="007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мм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 мм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Менее 0,15 мм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 класс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Повышенной крупности, 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 средний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II класс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Очень 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 повышенной крупности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 и средний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 и очень мелкий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7124AB" w:rsidRPr="007124AB" w:rsidTr="007124AB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Тонкий и очень тонкий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допускается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нормируется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</w:t>
      </w: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Характеристики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8" w:name="i85239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4.4.1Содержание в песке пылевидных и глинистых частиц, а также глины в комках недолжно превышать значений, указанных в таблице </w:t>
      </w:r>
      <w:bookmarkEnd w:id="8"/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begin"/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instrText xml:space="preserve"> HYPERLINK "http://www.ohranatruda.ru/ot_biblio/normativ/data_normativ/3/3620/" \l "i92945" \o "Таблица 4" </w:instrText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separate"/>
      </w:r>
      <w:r w:rsidRPr="007124AB">
        <w:rPr>
          <w:rFonts w:ascii="Times New Roman" w:eastAsia="Times New Roman" w:hAnsi="Times New Roman" w:cs="Times New Roman"/>
          <w:color w:val="800080"/>
          <w:sz w:val="24"/>
          <w:szCs w:val="24"/>
          <w:bdr w:val="none" w:sz="0" w:space="0" w:color="auto" w:frame="1"/>
        </w:rPr>
        <w:t>4</w:t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end"/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Таблица 4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процентах по массе,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неболее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412"/>
        <w:gridCol w:w="1694"/>
        <w:gridCol w:w="1600"/>
        <w:gridCol w:w="1788"/>
      </w:tblGrid>
      <w:tr w:rsidR="007124AB" w:rsidRPr="007124AB" w:rsidTr="007124AB">
        <w:trPr>
          <w:tblHeader/>
          <w:jc w:val="center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i92945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Класс и группа песка</w:t>
            </w:r>
            <w:bookmarkEnd w:id="9"/>
          </w:p>
        </w:tc>
        <w:tc>
          <w:tcPr>
            <w:tcW w:w="16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Содержание пылевидных и глинистых частиц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Содержание глины в комках</w:t>
            </w:r>
          </w:p>
        </w:tc>
      </w:tr>
      <w:tr w:rsidR="007124AB" w:rsidRPr="007124AB" w:rsidTr="007124A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AB" w:rsidRPr="007124AB" w:rsidRDefault="007124AB" w:rsidP="007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песке природном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песке из отсевов дробления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песке природном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песке из отсевов дробления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 класс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крупный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0,35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Повышенной крупности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рупный и средний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0,35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0,50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II класс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Очень крупный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Повышенной крупности, </w:t>
            </w:r>
            <w:proofErr w:type="gram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крупный</w:t>
            </w:r>
            <w:proofErr w:type="gram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 средний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Мелкий и очень мелкий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24AB" w:rsidRPr="007124AB" w:rsidTr="007124AB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Тонкий и очень тонкий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нормируется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0,1*</w:t>
            </w:r>
          </w:p>
        </w:tc>
      </w:tr>
      <w:tr w:rsidR="007124AB" w:rsidRPr="007124AB" w:rsidTr="007124AB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</w:rPr>
              <w:t>Примечание</w:t>
            </w: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- В очень мелком природном песке класса II по согласованию с потребителем допускается содержание пылевидных и глинистых частиц до 7 % по массе.</w:t>
            </w:r>
          </w:p>
          <w:p w:rsidR="007124AB" w:rsidRPr="007124AB" w:rsidRDefault="007124AB" w:rsidP="007124A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* Для песков, получаемых при обогащении руд черных и цветных металлов и неметаллических ископаемых других отраслей промышленности.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4.4.2 Пески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отсевовдробления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зависимости от прочности горной породы и гравия разделяют на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марки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.И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зверженные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метаморфические горные породы должны иметь предел прочности при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сжатиине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менее 60 МПа, осадочные породы - не менее 40 МПа.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Марка песка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отсевовдробления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прочности должна соответствовать указанной в таблице </w:t>
      </w:r>
      <w:hyperlink r:id="rId17" w:anchor="i105235" w:tooltip="Таблица 5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6"/>
        <w:gridCol w:w="3200"/>
      </w:tblGrid>
      <w:tr w:rsidR="007124AB" w:rsidRPr="007124AB" w:rsidTr="007124AB">
        <w:trPr>
          <w:tblHeader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i105235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Марка по прочности песка из отсевов дробления</w:t>
            </w:r>
            <w:bookmarkEnd w:id="10"/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Предел прочности при сжатии горной породы в насыщенном водой состоянии, МПа, не менее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Марка гравия по </w:t>
            </w:r>
            <w:proofErr w:type="spellStart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дробимости</w:t>
            </w:r>
            <w:proofErr w:type="spellEnd"/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цилиндре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Др8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Др12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Др16</w:t>
            </w:r>
          </w:p>
        </w:tc>
      </w:tr>
      <w:tr w:rsidR="007124AB" w:rsidRPr="007124AB" w:rsidTr="007124AB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Др24</w:t>
            </w:r>
          </w:p>
        </w:tc>
      </w:tr>
      <w:tr w:rsidR="007124AB" w:rsidRPr="007124AB" w:rsidTr="007124AB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4A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</w:rPr>
              <w:t>Примечание</w:t>
            </w:r>
            <w:r w:rsidRPr="007124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- Допускается, по согласованию изготовителя с потребителем, поставка песка II из осадочных горных пород с пределом прочности на сжатие менее 40 МПа, но не менее 20 МПа.</w:t>
            </w:r>
          </w:p>
        </w:tc>
      </w:tr>
    </w:tbl>
    <w:p w:rsidR="007124AB" w:rsidRPr="007124AB" w:rsidRDefault="007124AB" w:rsidP="007124AB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1" w:name="i112500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4.4.3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Песок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редназначенный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применения в качестве заполнителя для бетонов,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долженобладать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стойкостью к химическому воздействию щелочей цемента.</w:t>
      </w:r>
      <w:bookmarkEnd w:id="11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Стойкость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определяютпо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минералого-петрографическому составу и содержанию вредных компонентов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ипримесей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Перечень пород и минералов, относимых к вредным компонентам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ипримесям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и их предельно допустимое содержание приведены в приложении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hyperlink r:id="rId18" w:anchor="i233832" w:tooltip="Приложение А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А</w:t>
        </w:r>
        <w:proofErr w:type="gramEnd"/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4.4.4 Песок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отсевовдробления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горных пород, имеющий истинную плотность зерен более 2,8 г/см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или содержащий зерна пород и минералов, относимых к вредным компонентам,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вколичестве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превышающем допустимое их содержание, или содержащий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несколькоразличных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вредных компонентов, выпускают для конкретных видов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строительныхработ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техническим документам, разработанным в установленном порядке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исогласованным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 специализированными в области коррозии лабораториями.</w:t>
      </w:r>
      <w:proofErr w:type="gramEnd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4.4.5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опускается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поставкасмеси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природного песка и песка из отсевов дробления при содержании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последнегоне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менее 20 % по массе, при этом количество смеси должно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удовлетворятьтребованиям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настоящего стандарта к качеству песков из отсевов дробления.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4.4.6Предприятие-изготовитель должно сообщать потребителю следующие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характеристики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становленные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геологической разведкой: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-минералого-петрографический состав с указанием пород и минералов, относимых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квредным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компонентам и примесям;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пустотность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содержание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органическихпримесей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истинную плотность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зеренпеска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2" w:name="i123141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4.4.7Природный песок при обработке раствором гидроксида натрия (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колориметрическаяпроба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органические примеси по </w:t>
      </w:r>
      <w:bookmarkEnd w:id="12"/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begin"/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instrText xml:space="preserve"> HYPERLINK "http://www.ohranatruda.ru/ot_biblio/normativ/data_normativ/3/3619/index.php" \o "Песок для строительных работ. Методы испытаний" </w:instrText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separate"/>
      </w:r>
      <w:r w:rsidRPr="007124AB">
        <w:rPr>
          <w:rFonts w:ascii="Times New Roman" w:eastAsia="Times New Roman" w:hAnsi="Times New Roman" w:cs="Times New Roman"/>
          <w:color w:val="800080"/>
          <w:sz w:val="24"/>
          <w:szCs w:val="24"/>
          <w:bdr w:val="none" w:sz="0" w:space="0" w:color="auto" w:frame="1"/>
        </w:rPr>
        <w:t>ГОСТ 8735</w:t>
      </w:r>
      <w:r w:rsidRPr="007124AB">
        <w:rPr>
          <w:rFonts w:ascii="Times New Roman" w:eastAsia="Times New Roman" w:hAnsi="Times New Roman" w:cs="Times New Roman"/>
          <w:color w:val="333333"/>
          <w:sz w:val="20"/>
          <w:szCs w:val="20"/>
        </w:rPr>
        <w:fldChar w:fldCharType="end"/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не должен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придаватьраствору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окраску, соответствующую или темнее цвета эталона.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3" w:name="i132861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4.4.8Песку должна быть дана радиационно-гигиеническая оценка, по результатам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которойустанавливают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область его применения. Песок в зависимости от значений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удельнойэффективной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активности естественных радионуклидов </w:t>
      </w:r>
      <w:proofErr w:type="spellStart"/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bscript"/>
        </w:rPr>
        <w:t>эфф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[</w:t>
      </w:r>
      <w:r w:rsidRPr="007124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 применяют:</w:t>
      </w:r>
      <w:bookmarkEnd w:id="13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при </w:t>
      </w:r>
      <w:proofErr w:type="spellStart"/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bscript"/>
        </w:rPr>
        <w:t>эфф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до 370 Бк/кг - во вновь строящихся жилых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иобщественных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зданиях;</w:t>
      </w:r>
      <w:proofErr w:type="gramEnd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при </w:t>
      </w:r>
      <w:proofErr w:type="spellStart"/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bscript"/>
        </w:rPr>
        <w:t>эфф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св. 370 до 740 Бк/кг - для дорожного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строительствав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пределах территории населенных пунктов и зон перспективной застройки, 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такжепри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возведении производственных зданий и сооружений;</w:t>
      </w:r>
      <w:proofErr w:type="gramEnd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при </w:t>
      </w:r>
      <w:proofErr w:type="spellStart"/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bscript"/>
        </w:rPr>
        <w:t>эфф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св. 740 до 1500 Бк/кг -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дорожном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строительствепне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населенных пунктов.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необходимости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внациональных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нормах, действующих на территории государства, величина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удельнойэффективной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активности естественных радионуклидов может быть изменена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впределах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норм, указанных выше.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(Измененная редакция.</w:t>
      </w:r>
      <w:proofErr w:type="gram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Изм. № 1, 2).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4.4.9 Песок не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долженсодержать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посторонних засоряющих примесей.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4" w:name="i145847"/>
      <w:bookmarkStart w:id="15" w:name="i155462"/>
      <w:bookmarkEnd w:id="14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5 ПРАВИЛА ПРИЕМКИ</w:t>
      </w:r>
      <w:bookmarkEnd w:id="15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 Песок должен быть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принятслужбой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контроля предприятия-изготовителя.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5.2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проверкисоответствия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качества песка требованиям настоящего стандарта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проводятприемосдаточные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периодические испытания.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5.3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Приемосдаточныеиспытания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предприятии-изготовителе проводят ежедневно путем испытания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однойсменной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пробы, отобранной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hyperlink r:id="rId19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</w:t>
        </w:r>
        <w:proofErr w:type="spellEnd"/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 xml:space="preserve"> 8735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каждойтехнологической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линии.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приемочном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контролеопределяют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зерновой состав;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содержание пылевидных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иглинистых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частиц;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содержание глины в комках.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6" w:name="i161011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5.4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Припериодических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испытаниях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песка определяют:</w:t>
      </w:r>
      <w:bookmarkEnd w:id="16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один раз в квартал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-н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асыпную плотность (насыпную плотность при влажности во время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отгрузкиопределяют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мере необходимости), а также наличие органических примесей(гумусовых веществ) в природном песке;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- один раз в год и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каждомслучае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изменения свойств разрабатываемой породы - истинную плотность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зерен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одержание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пород и минералов, относимых к вредным компонентам и примесям,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маркупо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прочности песка из отсевов дробления, удельную эффективную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активностьестественных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радионуклидов.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Периодический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контрольпоказателя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удельной эффективной активности естественных радионуклидов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проводятв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специализированных лабораториях, аккредитованных в установленном порядке направо проведения гамма-спектрометрических испытаний или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врадиационнометрических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лабораториях органов надзора.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случае отсутствия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данныхгеологической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разведки по радиационно-гигиенической оценке месторождения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изаключения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классе песка, предприятие-изготовитель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проводитрадиационно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-гигиеническую оценку разрабатываемых участков горных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породэкспрессным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методом непосредственно в забое или на складах готовой продукци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карте намыва) в соответствии с требованиями </w:t>
      </w:r>
      <w:hyperlink r:id="rId20" w:tooltip="Материалы и изделия строительные. Определение удельной эффективной активности естественных радионуклидов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ГОСТ30108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5.5 Отбор и подготовку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контроля качества на предприятии-изготовителе проводят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соответствиис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требованиями </w:t>
      </w:r>
      <w:hyperlink r:id="rId21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8735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5.6 Поставку и приемку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пескапроизводят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партиями. Партией считают количество материала,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одновременнопоставляемое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одному потребителю в одном железнодорожном составе или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одномсудне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При отгрузке автомобильным транспортом партией считают количество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тгружаемое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одному потребителю в течение суток.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5.7 Потребитель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приконтрольной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проверке качества песка должен применять приведенный в </w:t>
      </w:r>
      <w:hyperlink r:id="rId22" w:anchor="i177747" w:tooltip="Пункт 5.8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5.8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</w:t>
      </w:r>
      <w:hyperlink r:id="rId23" w:anchor="i186458" w:tooltip="Пункт 5.11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5.11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порядок отбора проб. При неудовлетворительных результатах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контрольной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проверкипо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зерновому составу и содержанию пылевидных и глинистых частиц партию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непринимают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7" w:name="i177747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5.8Число точечных проб, отбираемых для контрольной проверки качества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вкаждой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партии в зависимости от объема партии, должно быть не менее:</w:t>
      </w:r>
      <w:bookmarkEnd w:id="17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Объем партии                                                                  Числоточечных проб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350 м..................................................................................     10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Св. 350 до 700 м......................................................................  15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Св. 700 м..................................................................................     10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 точечных проб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образуютобъединенную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пробу, характеризующую контролируемую партию.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Усреднение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окращение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подготовку пробы проводят по </w:t>
      </w:r>
      <w:hyperlink r:id="rId24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8735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5.9 Для контрольной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проверкикачества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песка, отгружаемого железнодорожным транспортом, точечные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пробыотбирают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разгрузке вагонов из потока песка на ленточных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конвейерах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,и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спользуемых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транспортирования его на склад потребителя. При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разгрузкевагона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отбирают через равные интервалы времени пять точечных проб.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Числовагонов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определяют с учетом получения требуемого количества точечных проб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всоответствии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 </w:t>
      </w:r>
      <w:hyperlink r:id="rId25" w:anchor="i177747" w:tooltip="Пункт 5.8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5.8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Вагоны отбирают по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указаниюпотребителя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В случае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если партия состоит из одного вагона, при его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разгрузкеотбирают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пять точечных проб, из которых получают объединенную пробу.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Если непрерывный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транспортпри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разгрузке не применяют, точечные пробы отбирают непосредственно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вагонов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.Д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этого поверхность песка в вагоне выравнивают и в точках отбора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пробвыкапывают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лунки глубиной 0,2-0,4 м. Точки отбора проб должны быть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расположеныв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центре и в четырех углах вагона, при этом расстояние от бортов вагона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доточек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отбора проб должно быть не менее 0,5 м. Пробы из лунок отбирают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совком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еремещая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его снизу вверх вдоль стенок лунки.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5.10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контрольнойпроверки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качества песка, поставляемого водным транспортом, точечные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пробыотбирают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разгрузке судов. В случае использования при разгрузке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ленточныхконвейеров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точечные пробы отбирают через равные интервалы времени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потокапеска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конвейерах. При разгрузке судна грейферными кранами точечные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пробыотбирают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совком через равные интервалы времени по мере разгрузки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непосредственнос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вновь образованной поверхности песка в судне, а не из лунок.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Для контрольной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проверкипеска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выгружаемого из судов и укладываемого на карты намыва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способомгидромеханизации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точечные пробы отбирают в соответствии с </w:t>
      </w:r>
      <w:r w:rsidRPr="007124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2.9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hyperlink r:id="rId26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 8735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18" w:name="i186458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5.11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ля контрольной проверки качества песка, отгружаемого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автомобильнымтранспортом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точечные пробы отбирают при разгрузке автомобилей.</w:t>
      </w:r>
      <w:bookmarkEnd w:id="18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случае использования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приразгрузке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песка ленточных конвейеров точечные пробы отбирают из потока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наконвейерах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При разгрузке каждого автомобиля отбирают одну точечную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пробу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.Ч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исло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автомобилей определяют с учетом получения требуемого числа точечных пробпо</w:t>
      </w:r>
      <w:hyperlink r:id="rId27" w:anchor="i177747" w:tooltip="Пункт 5.8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5.8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.Автомобили выбирают по указанию потребителя.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Если партия состоит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менеечем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из десяти автомобилей, пробы песка отбирают в каждом автомобиле.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Если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конвейерный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транспортпри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разгрузке автомобилей не применяют, точечные пробы отбирают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непосредственноиз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автомобилей. Для этого поверхность песка в автомобиле выравнивают,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центрекузова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выкапывают лунку глубиной 0,2-0,4 м. Из лунки пробы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отбираютсовком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перемещая его снизу вверх вдоль стенки лунки.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5.12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Количествопоставляемого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песка определяют по объему или массе. Обмер песка проводят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ввагонах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судах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автомобилях.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Песок, отгружаемый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вагонахили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автомобилях, взвешивают на автомобильных весах. Массу песка, отгружаемого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всудах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определяют по осадке судна.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Количество песка из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единицмассы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единицы объема пересчитывают по значениям насыпной плотности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пределяемой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его влажности во время отгрузки. В договоре на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поставкууказывают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принятую по согласованию сторон расчетную влажность песка.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5.13Предприятие-изготовитель обязано сопровождать каждую партию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поставляемого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пескадокументом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его качестве установленной формы, в котором должны быть указаны: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наименованиепредприятия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-изготовителя и его адрес;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номер и дата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выдачидокумента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номер партии 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количествопеска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номера вагонов 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номерсудна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номера накладных;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класс, модуль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крупности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олный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остаток на сите № 063;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содержание пылевидных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иглинистых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частиц, а также глины в комках;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удельная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эффективнаяактивность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естественных радионуклидов в песке в соответствии с </w:t>
      </w:r>
      <w:hyperlink r:id="rId28" w:anchor="i161011" w:tooltip="Пункт 5.4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5.4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содержание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вредныхкомпонентов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примесей;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обозначение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настоящегостандарта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9" w:name="i191826"/>
      <w:bookmarkStart w:id="20" w:name="i204175"/>
      <w:bookmarkEnd w:id="19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6 МЕТОДЫ КОНТРОЛЯ</w:t>
      </w:r>
      <w:bookmarkEnd w:id="20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6.1 Испытания песка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проводятпо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hyperlink r:id="rId29" w:tooltip="Песок для строительных работ. Методы испытаний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ГОСТ8735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6.2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Удельную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эффективнуюактивность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естественных радионуклидов в песке определяют по </w:t>
      </w:r>
      <w:hyperlink r:id="rId30" w:tooltip="Материалы и изделия строительные. Определение удельной эффективной активности естественных радионуклидов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ГОСТ30108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1" w:name="i216351"/>
      <w:r w:rsidRPr="007124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7 ТРАНСПОРТИРОВАНИЕ И ХРАНЕНИЕ</w:t>
      </w:r>
      <w:bookmarkEnd w:id="21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7.1 Песок транспортируют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воткрытых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железнодорожных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вагонах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судах, а также автомобилях в соответствии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сутвержденными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установленном порядке правилами перевозки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грузовсоответствующим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видом транспорта и хранят на складе у изготовителя 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потребителяв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условиях, предохраняющих песок от загрязнения.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перевозке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пескажелезнодорожным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транспортом должно быть обеспечено также выполнение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требованийТехнических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условий погрузки и крепления грузов, утвержденных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Министерствомпутей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сообщения.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7.2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 отгрузке 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хранениипеска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зимнее время предприятию-изготовителю необходимо принять меры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попредотвращению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смерзаемости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(перелопачивание, обработку специальными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растворамии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т.п.).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2" w:name="i225116"/>
      <w:bookmarkStart w:id="23" w:name="i233832"/>
      <w:bookmarkEnd w:id="22"/>
      <w:r w:rsidRPr="007124AB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А</w:t>
      </w:r>
      <w:bookmarkEnd w:id="23"/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(обязательное)</w:t>
      </w:r>
    </w:p>
    <w:p w:rsidR="007124AB" w:rsidRPr="007124AB" w:rsidRDefault="007124AB" w:rsidP="007124AB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24" w:name="i247099"/>
      <w:r w:rsidRPr="007124A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t>СОДЕРЖАНИЕ ВРЕДНЫХ ПРИМЕСЕЙ</w:t>
      </w:r>
      <w:bookmarkEnd w:id="24"/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Допустимое содержание породи минералов, относимых к вредным компонентам и примесям, в песке,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используемомв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качестве заполнителя для бетонов и растворов, не должно превышать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следующихзначений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аморфные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разновидностидиоксида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кремния, растворимого в щелочах (халцедон, опал, кремень и др.) -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неболее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50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ммоль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/л;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сера, сульфиды,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кромепирита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(марказит, пирротин и др.) и сульфаты (гипс, ангидрит и др.)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пересчетена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SO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</w:rPr>
        <w:t>3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не более 1,0 %, пирит в пересчете на SO</w:t>
      </w:r>
      <w:r w:rsidRPr="007124A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bscript"/>
        </w:rPr>
        <w:t>3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не более 4 % по массе;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слюда - не более 2 %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помассе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галлоидные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соединени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я(</w:t>
      </w:r>
      <w:proofErr w:type="spellStart"/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галит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сильвин и др.), включающие в себя водорастворимые хлориды, 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пересчетена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ион хлора - не более 0,15 % по массе;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уголь - не более 1 %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помассе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органические примеси(гумусовые кислоты) - менее количества, придающего раствору гидроксида натрия(колориметрическая проба по</w:t>
      </w:r>
      <w:hyperlink r:id="rId31" w:tooltip="Щебень и гравий из плотных горных пород для строительных работ. Технические условия" w:history="1">
        <w:r w:rsidRPr="007124AB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ГОСТ8267</w:t>
        </w:r>
      </w:hyperlink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окраску, соответствующую цвету эталона или темнее этого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цвета</w:t>
      </w: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.И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спользование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песка, не отвечающего этому требованию, допускается только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послеполучения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положительных результатов испытаний песка в бетоне или растворе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нахарактеристики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долговечности.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Допустимое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содержаниецеолита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графита, горючих сланцев устанавливают на основе исследований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влиянияпеска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долговечность бетона или раствора.</w:t>
      </w:r>
    </w:p>
    <w:p w:rsidR="007124AB" w:rsidRPr="007124AB" w:rsidRDefault="007124AB" w:rsidP="007124AB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5" w:name="i253662"/>
      <w:r w:rsidRPr="007124AB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ПРИЛОЖЕНИЕБ</w:t>
      </w:r>
      <w:bookmarkEnd w:id="25"/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(информационное)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(Исключено.</w:t>
      </w:r>
      <w:proofErr w:type="gramEnd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Изм. № 2).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Ключевыеслова</w:t>
      </w:r>
      <w:proofErr w:type="gramStart"/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есок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природный, строительные работы, песок из отсевов </w:t>
      </w:r>
      <w:proofErr w:type="spellStart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дробления,фракционированный</w:t>
      </w:r>
      <w:proofErr w:type="spellEnd"/>
      <w:r w:rsidRPr="007124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песок, дробленые пески, зерновой состав</w:t>
      </w:r>
    </w:p>
    <w:p w:rsidR="007124AB" w:rsidRPr="007124AB" w:rsidRDefault="007124AB" w:rsidP="007124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124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2"/>
      </w:tblGrid>
      <w:tr w:rsidR="007124AB" w:rsidRPr="007124AB" w:rsidTr="007124AB">
        <w:trPr>
          <w:jc w:val="center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i12039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бласть применения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i28899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ормативные ссылки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i37540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пределения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i44837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4 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ехнические требования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i145847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5 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равила приемки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i191826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6 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М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етоды контроля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i216351" w:history="1"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7 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ранспортирование и хранение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i225116" w:history="1">
              <w:r w:rsidRPr="007124AB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7124AB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</w:t>
              </w:r>
              <w:r w:rsidRPr="007124AB">
                <w:rPr>
                  <w:rFonts w:ascii="Times New Roman" w:eastAsia="Times New Roman" w:hAnsi="Times New Roman" w:cs="Times New Roman"/>
                  <w:i/>
                  <w:iCs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</w:t>
              </w:r>
              <w:proofErr w:type="gramEnd"/>
              <w:r w:rsidRPr="007124AB">
                <w:rPr>
                  <w:rFonts w:ascii="Times New Roman" w:eastAsia="Times New Roman" w:hAnsi="Times New Roman" w:cs="Times New Roman"/>
                  <w:i/>
                  <w:iCs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</w:t>
              </w:r>
              <w:r w:rsidRPr="007124AB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С</w:t>
              </w:r>
              <w:r w:rsidRPr="007124A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одержание вредных примесей</w:t>
              </w:r>
            </w:hyperlink>
          </w:p>
          <w:p w:rsidR="007124AB" w:rsidRPr="007124AB" w:rsidRDefault="007124AB" w:rsidP="007124AB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i253662" w:history="1">
              <w:r w:rsidRPr="007124AB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7124AB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</w:t>
              </w:r>
              <w:r w:rsidRPr="007124AB">
                <w:rPr>
                  <w:rFonts w:ascii="Times New Roman" w:eastAsia="Times New Roman" w:hAnsi="Times New Roman" w:cs="Times New Roman"/>
                  <w:i/>
                  <w:iCs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Б</w:t>
              </w:r>
              <w:proofErr w:type="gramEnd"/>
            </w:hyperlink>
          </w:p>
        </w:tc>
      </w:tr>
    </w:tbl>
    <w:p w:rsidR="007A79F2" w:rsidRDefault="007A79F2"/>
    <w:sectPr w:rsidR="007A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AB"/>
    <w:rsid w:val="007124AB"/>
    <w:rsid w:val="007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2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24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124AB"/>
  </w:style>
  <w:style w:type="character" w:styleId="a3">
    <w:name w:val="Hyperlink"/>
    <w:basedOn w:val="a0"/>
    <w:uiPriority w:val="99"/>
    <w:semiHidden/>
    <w:unhideWhenUsed/>
    <w:rsid w:val="007124AB"/>
  </w:style>
  <w:style w:type="paragraph" w:styleId="11">
    <w:name w:val="toc 1"/>
    <w:basedOn w:val="a"/>
    <w:autoRedefine/>
    <w:uiPriority w:val="39"/>
    <w:semiHidden/>
    <w:unhideWhenUsed/>
    <w:rsid w:val="007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7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2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24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124AB"/>
  </w:style>
  <w:style w:type="character" w:styleId="a3">
    <w:name w:val="Hyperlink"/>
    <w:basedOn w:val="a0"/>
    <w:uiPriority w:val="99"/>
    <w:semiHidden/>
    <w:unhideWhenUsed/>
    <w:rsid w:val="007124AB"/>
  </w:style>
  <w:style w:type="paragraph" w:styleId="11">
    <w:name w:val="toc 1"/>
    <w:basedOn w:val="a"/>
    <w:autoRedefine/>
    <w:uiPriority w:val="39"/>
    <w:semiHidden/>
    <w:unhideWhenUsed/>
    <w:rsid w:val="007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7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7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3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9411225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3/3620/" TargetMode="External"/><Relationship Id="rId13" Type="http://schemas.openxmlformats.org/officeDocument/2006/relationships/hyperlink" Target="http://www.ohranatruda.ru/ot_biblio/normativ/data_normativ/3/3631/index.php" TargetMode="External"/><Relationship Id="rId18" Type="http://schemas.openxmlformats.org/officeDocument/2006/relationships/hyperlink" Target="http://www.ohranatruda.ru/ot_biblio/normativ/data_normativ/3/3620/" TargetMode="External"/><Relationship Id="rId26" Type="http://schemas.openxmlformats.org/officeDocument/2006/relationships/hyperlink" Target="http://www.ohranatruda.ru/ot_biblio/normativ/data_normativ/3/3619/index.php" TargetMode="External"/><Relationship Id="rId39" Type="http://schemas.openxmlformats.org/officeDocument/2006/relationships/hyperlink" Target="http://www.ohranatruda.ru/ot_biblio/normativ/data_normativ/3/36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ranatruda.ru/ot_biblio/normativ/data_normativ/3/3619/index.php" TargetMode="External"/><Relationship Id="rId34" Type="http://schemas.openxmlformats.org/officeDocument/2006/relationships/hyperlink" Target="http://www.ohranatruda.ru/ot_biblio/normativ/data_normativ/3/3620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ohranatruda.ru/ot_biblio/normativ/data_normativ/3/3620/" TargetMode="External"/><Relationship Id="rId12" Type="http://schemas.openxmlformats.org/officeDocument/2006/relationships/hyperlink" Target="http://www.ohranatruda.ru/ot_biblio/normativ/data_normativ/3/3619/index.php" TargetMode="External"/><Relationship Id="rId17" Type="http://schemas.openxmlformats.org/officeDocument/2006/relationships/hyperlink" Target="http://www.ohranatruda.ru/ot_biblio/normativ/data_normativ/3/3620/" TargetMode="External"/><Relationship Id="rId25" Type="http://schemas.openxmlformats.org/officeDocument/2006/relationships/hyperlink" Target="http://www.ohranatruda.ru/ot_biblio/normativ/data_normativ/3/3620/" TargetMode="External"/><Relationship Id="rId33" Type="http://schemas.openxmlformats.org/officeDocument/2006/relationships/hyperlink" Target="http://www.ohranatruda.ru/ot_biblio/normativ/data_normativ/3/3620/" TargetMode="External"/><Relationship Id="rId38" Type="http://schemas.openxmlformats.org/officeDocument/2006/relationships/hyperlink" Target="http://www.ohranatruda.ru/ot_biblio/normativ/data_normativ/3/362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3/3620/" TargetMode="External"/><Relationship Id="rId20" Type="http://schemas.openxmlformats.org/officeDocument/2006/relationships/hyperlink" Target="http://www.ohranatruda.ru/ot_biblio/normativ/data_normativ/3/3631/index.php" TargetMode="External"/><Relationship Id="rId29" Type="http://schemas.openxmlformats.org/officeDocument/2006/relationships/hyperlink" Target="http://www.ohranatruda.ru/ot_biblio/normativ/data_normativ/3/3619/index.php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3/3620/" TargetMode="External"/><Relationship Id="rId11" Type="http://schemas.openxmlformats.org/officeDocument/2006/relationships/hyperlink" Target="http://www.ohranatruda.ru/ot_biblio/normativ/data_normativ/5/5182/index.php" TargetMode="External"/><Relationship Id="rId24" Type="http://schemas.openxmlformats.org/officeDocument/2006/relationships/hyperlink" Target="http://www.ohranatruda.ru/ot_biblio/normativ/data_normativ/3/3619/index.php" TargetMode="External"/><Relationship Id="rId32" Type="http://schemas.openxmlformats.org/officeDocument/2006/relationships/hyperlink" Target="http://www.ohranatruda.ru/ot_biblio/normativ/data_normativ/3/3620/" TargetMode="External"/><Relationship Id="rId37" Type="http://schemas.openxmlformats.org/officeDocument/2006/relationships/hyperlink" Target="http://www.ohranatruda.ru/ot_biblio/normativ/data_normativ/3/3620/" TargetMode="External"/><Relationship Id="rId40" Type="http://schemas.openxmlformats.org/officeDocument/2006/relationships/hyperlink" Target="http://www.ohranatruda.ru/ot_biblio/normativ/data_normativ/3/3620/" TargetMode="External"/><Relationship Id="rId5" Type="http://schemas.openxmlformats.org/officeDocument/2006/relationships/hyperlink" Target="http://www.ohranatruda.ru/ot_biblio/normativ/data_normativ/3/3620/" TargetMode="External"/><Relationship Id="rId15" Type="http://schemas.openxmlformats.org/officeDocument/2006/relationships/hyperlink" Target="http://www.ohranatruda.ru/ot_biblio/normativ/data_normativ/3/3620/" TargetMode="External"/><Relationship Id="rId23" Type="http://schemas.openxmlformats.org/officeDocument/2006/relationships/hyperlink" Target="http://www.ohranatruda.ru/ot_biblio/normativ/data_normativ/3/3620/" TargetMode="External"/><Relationship Id="rId28" Type="http://schemas.openxmlformats.org/officeDocument/2006/relationships/hyperlink" Target="http://www.ohranatruda.ru/ot_biblio/normativ/data_normativ/3/3620/" TargetMode="External"/><Relationship Id="rId36" Type="http://schemas.openxmlformats.org/officeDocument/2006/relationships/hyperlink" Target="http://www.ohranatruda.ru/ot_biblio/normativ/data_normativ/3/3620/" TargetMode="External"/><Relationship Id="rId10" Type="http://schemas.openxmlformats.org/officeDocument/2006/relationships/hyperlink" Target="http://www.ohranatruda.ru/ot_biblio/normativ/data_normativ/3/3620/" TargetMode="External"/><Relationship Id="rId19" Type="http://schemas.openxmlformats.org/officeDocument/2006/relationships/hyperlink" Target="http://www.ohranatruda.ru/ot_biblio/normativ/data_normativ/3/3619/index.php" TargetMode="External"/><Relationship Id="rId31" Type="http://schemas.openxmlformats.org/officeDocument/2006/relationships/hyperlink" Target="http://www.ohranatruda.ru/ot_biblio/normativ/data_normativ/3/3617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3/3620/" TargetMode="External"/><Relationship Id="rId14" Type="http://schemas.openxmlformats.org/officeDocument/2006/relationships/hyperlink" Target="http://www.ohranatruda.ru/ot_biblio/normativ/data_normativ/3/3620/" TargetMode="External"/><Relationship Id="rId22" Type="http://schemas.openxmlformats.org/officeDocument/2006/relationships/hyperlink" Target="http://www.ohranatruda.ru/ot_biblio/normativ/data_normativ/3/3620/" TargetMode="External"/><Relationship Id="rId27" Type="http://schemas.openxmlformats.org/officeDocument/2006/relationships/hyperlink" Target="http://www.ohranatruda.ru/ot_biblio/normativ/data_normativ/3/3620/" TargetMode="External"/><Relationship Id="rId30" Type="http://schemas.openxmlformats.org/officeDocument/2006/relationships/hyperlink" Target="http://www.ohranatruda.ru/ot_biblio/normativ/data_normativ/3/3631/index.php" TargetMode="External"/><Relationship Id="rId35" Type="http://schemas.openxmlformats.org/officeDocument/2006/relationships/hyperlink" Target="http://www.ohranatruda.ru/ot_biblio/normativ/data_normativ/3/3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2014-08-12T02:45:00Z</dcterms:created>
  <dcterms:modified xsi:type="dcterms:W3CDTF">2014-08-12T02:46:00Z</dcterms:modified>
</cp:coreProperties>
</file>